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="0"/>
        <w:ind w:left="0"/>
        <w:jc w:val="both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附件1：</w:t>
      </w:r>
    </w:p>
    <w:p>
      <w:pPr>
        <w:pStyle w:val="2"/>
        <w:kinsoku w:val="0"/>
        <w:overflowPunct w:val="0"/>
        <w:spacing w:before="120" w:beforeLines="50" w:after="120" w:afterLines="50"/>
        <w:ind w:left="2406"/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</w:pPr>
      <w:bookmarkStart w:id="0" w:name="_GoBack"/>
      <w:bookmarkEnd w:id="0"/>
      <w:r>
        <w:rPr>
          <w:rFonts w:ascii="Times New Roman" w:eastAsia="黑体" w:cs="Times New Roman"/>
          <w:b/>
          <w:bCs/>
          <w:color w:val="333333"/>
          <w:spacing w:val="14"/>
          <w:sz w:val="28"/>
          <w:szCs w:val="28"/>
        </w:rPr>
        <w:t>师资招聘学科（方向）/专业及联系方式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937"/>
        <w:gridCol w:w="4111"/>
        <w:gridCol w:w="23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部门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一级学科</w:t>
            </w:r>
          </w:p>
          <w:p>
            <w:pPr>
              <w:pStyle w:val="6"/>
              <w:kinsoku w:val="0"/>
              <w:overflowPunct w:val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（或主方向）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学科方向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kinsoku w:val="0"/>
              <w:overflowPunct w:val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船海学院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船舶与海洋工程结构力学（含制造工艺学）、船舶与海洋结构物先进设计制造技术、船舶与海洋工程水动力学、海洋工程与技术（含水工结构力学）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胡老师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0511-84401133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"mailto:chxy@just.edu.cn"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chxy@just.edu.cn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工程力学、动力学与控制、流体力学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水利工程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港口航道与海岸工程（含水工结构力学）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机械制造、机械电子工程、机械设计、工业设计、智能制造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薛老师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0511-84493568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"mailto:xueyu1027@just.edu.cn"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xueyu1027@just.edu.cn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能动学院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流体机械、动力机械性能及排放、新能源科学与工程、工程热物理与热能工程、制冷及低温工程、核动力装置及应用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夏老师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0511-84411906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ndxy@just.edu.cn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轮机工程、水声工程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轮机系统及设备性能分析与优化、船舶动力系统自动化与智能化、动力装置减振降噪抗击与水下噪声、船舶轮机综合节能与污染物控制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供热供燃气通风与空调工程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暖通空调与人工环境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控制理论与控制工程、模式识别与智能系统、机器人与无人机系统、导航与制导、智能感知与自主控制、系统工程、检测技术与自动化装置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杨老师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0511-84427900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"mailto:dxxy@just.edu.cn"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dxxy@just.edu.cn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电工理论与新技术、电力系统及其自动化（船舶）、电机与电器、电力电子与电力传动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雷达信号与信息处理理论与技术、船舶电子信息系统、船舶通信与导航、智能信息处理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船舶与海洋工程（水声工程）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水声信号与信息处理技术、水声通信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材料学院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焊接技术与装备、金属材料工程及腐蚀防护、材料成型及控制、高分子材料、功能材料、电子封装技术、纳米材料及新能源材料与器件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雷老师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0511-84401184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"mailto:just6@just.edu.cn"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just6@just.edu.cn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经管学院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战略与创新管理、营销管理、人力资源与组织管理、经济法或国际经济法、会计、财务管理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朱老师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0511-84401166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"mailto:jkd84401166@just.edu.cn"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jkd84401166@just.edu.cn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经济学、金融学、金融工程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管理科学与工程（管理、计算机、统计、系统工程、机械工程、交通运输管理）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工业工程（含生产管理、物流与供应链管理、质量管理、人因工程）、信息管理与信息系统、大数据管理与应用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高性能计算与体系结构、视听觉认知与信号处理、概念认知与自然语言处理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张老师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0511-84404905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"mailto:jsjxy@just.edu.cn"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jsjxy@just.edu.cn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软件工程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云计算与大数据处理、软件工程理论、系统分析与项目管理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网络空间安全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网络空间渗透与对抗、网络安全信息分析与处理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人工智能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进化计算与深度网络、知识表示与智能推理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top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土建学院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工程结构灾变分析与防治、海工结构性能评估与优化、工程结构安全与耐久性、岩土灾害防治及环境修复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姜老师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0511-84432200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"mailto:tjxy@just.edu.cn"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tjxy@just.edu.cn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工程管理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工程管理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建筑学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建筑学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蚕研所/生技院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畜牧学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特种动物科学、畜牧生物工程、动物营养与饲料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0511-85616661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"mailto:gjy6102@qq.com"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gjy6102@qq.com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生物学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动物学、植物学、微生物学、生物化学与分子生物学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环化学院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化学工程与技术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化学工程、化学工艺、应用化学、材料化工、工业催化、生物化工、能源化工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王老师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0511-85635850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wangxiao0511@just.edu.cn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化学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化学生物学、有机化学、物理化学、无机化学、高分子化学与物理、分析化学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环境科学与工程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环境科学、环境工程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1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粮食学院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食品科学与工程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食品科学（谷物科学、粮食储藏、食品营养等）、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"https://baike.so.com/doc/5270597-5504490.html" \t "_blank"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农产品加工及贮藏工程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（粮食储藏、干燥、储藏物害虫防治、米、面、油加工工程）、粮食油脂及植物蛋白工程、食品营养与健康（谷物营养与健康）、食品安全（粮油质量与安全、食品毒理学）、食品微生物（食品发酵工程、食品微生物）、粮食经济（粮食期货、贸易）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顾老师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0511-85626711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sdxyugu@just.edu.cn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理学院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计算数学（含计算机科学）、应用数学、统计学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0511-84401171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"mailto:chenlili@just.edu.cn"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chenlili@just.edu.cn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物理学及光电类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理论物理、凝聚态物理、光学、光学工程、电子科学与技术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外国语学院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外国语言文学（含翻译方向）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翻译学、英美文学、比较文学与跨文化研究、外国语言学及应用语言学、国别与区域研究、俄语语言文学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李老师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0511-84492680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"mailto:justwyyb@163.com"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justwyyb@163.com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马克思主义学院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马克思主义方向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马克思主义理论、哲学、中国史、世界史、政治学、社会学、国际关系学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沈老师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0511-85602052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"mailto:jkdrwskxy@163.com"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jkdrwskxy@163.com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科学技术史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科学技术史、科技哲学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人文社科学院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公共管理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0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公共管理、政治学、社会学、人文地理学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陈老师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0511-84433132</w:t>
            </w:r>
          </w:p>
          <w:p>
            <w:pPr>
              <w:pStyle w:val="2"/>
              <w:overflowPunct w:val="0"/>
              <w:autoSpaceDE/>
              <w:autoSpaceDN/>
              <w:spacing w:before="0" w:line="320" w:lineRule="exact"/>
              <w:ind w:left="0"/>
              <w:jc w:val="both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instrText xml:space="preserve"> HYPERLINK "mailto:tangxje126@163.com" </w:instrTex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tangxje126@163.com</w:t>
            </w: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理论经济学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exact"/>
          <w:jc w:val="center"/>
        </w:trPr>
        <w:tc>
          <w:tcPr>
            <w:tcW w:w="1148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体育学院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体育学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社会体育、休闲体育、体育管理等相关方向</w:t>
            </w:r>
          </w:p>
        </w:tc>
        <w:tc>
          <w:tcPr>
            <w:tcW w:w="2397" w:type="dxa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王老师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0511-84401191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instrText xml:space="preserve"> HYPERLINK "mailto:tybwp666@163.com" </w:instrTex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t>tybwp666@163.com</w: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海装院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船舶与海洋结构物设计制造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张老师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0511-84401505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instrText xml:space="preserve"> HYPERLINK "mailto:jskd0608@163.com" </w:instrTex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t>jskd0608@163.com</w: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机械设计与制造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电力系统及其自动化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检测技术与自动化装置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热能工程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overflowPunct w:val="0"/>
              <w:topLinePunct/>
              <w:autoSpaceDE/>
              <w:autoSpaceDN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动力工程及工程热物理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张家港校区</w:t>
            </w: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力学</w:t>
            </w:r>
          </w:p>
        </w:tc>
        <w:tc>
          <w:tcPr>
            <w:tcW w:w="2397" w:type="dxa"/>
            <w:vMerge w:val="restart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姚老师</w:t>
            </w:r>
          </w:p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t>0512-56731010</w:t>
            </w:r>
          </w:p>
          <w:p>
            <w:pPr>
              <w:pStyle w:val="6"/>
              <w:overflowPunct w:val="0"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begin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instrText xml:space="preserve"> HYPERLINK "mailto:dzb_rs@163.com" </w:instrTex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separate"/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t>dzb_rs@163.com</w:t>
            </w:r>
            <w:r>
              <w:rPr>
                <w:bCs/>
                <w:color w:val="333333"/>
                <w:spacing w:val="14"/>
                <w:sz w:val="21"/>
                <w:szCs w:val="21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土木工程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6"/>
              <w:overflowPunct w:val="0"/>
              <w:autoSpaceDE/>
              <w:autoSpaceDN/>
              <w:spacing w:line="320" w:lineRule="exact"/>
              <w:jc w:val="both"/>
              <w:rPr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冶金工程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钢铁冶金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材料科学与工程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增材制造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机械工程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先进制造、机器人控制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控制科学与工程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电气工程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计算机科学与技术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信息与通信工程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工商管理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会计、财务管理、审计等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经济学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计量经济学、区域经济、金融学、国际经济与贸易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外国语言文学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商务英语、英语语言文学、日语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数学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计算数学、应用数学、基础数学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物理学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光学、凝聚态物理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体育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足球、乒乓球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马克思主义理论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马克思主义基本原理、毛泽东思想概论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48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  <w:tc>
          <w:tcPr>
            <w:tcW w:w="1937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法学</w:t>
            </w:r>
          </w:p>
        </w:tc>
        <w:tc>
          <w:tcPr>
            <w:tcW w:w="4111" w:type="dxa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  <w:r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  <w:t>法学理论</w:t>
            </w:r>
          </w:p>
        </w:tc>
        <w:tc>
          <w:tcPr>
            <w:tcW w:w="2397" w:type="dxa"/>
            <w:vMerge w:val="continue"/>
            <w:shd w:val="clear" w:color="auto" w:fill="auto"/>
            <w:noWrap w:val="0"/>
            <w:vAlign w:val="center"/>
          </w:tcPr>
          <w:p>
            <w:pPr>
              <w:pStyle w:val="2"/>
              <w:kinsoku w:val="0"/>
              <w:overflowPunct w:val="0"/>
              <w:spacing w:before="0" w:line="320" w:lineRule="exact"/>
              <w:ind w:left="0"/>
              <w:jc w:val="center"/>
              <w:rPr>
                <w:rFonts w:ascii="Times New Roman" w:cs="Times New Roman"/>
                <w:bCs/>
                <w:color w:val="333333"/>
                <w:spacing w:val="14"/>
                <w:sz w:val="21"/>
                <w:szCs w:val="21"/>
              </w:rPr>
            </w:pPr>
          </w:p>
        </w:tc>
      </w:tr>
    </w:tbl>
    <w:p>
      <w:pPr>
        <w:pStyle w:val="2"/>
        <w:kinsoku w:val="0"/>
        <w:overflowPunct w:val="0"/>
        <w:spacing w:before="0" w:line="387" w:lineRule="exact"/>
        <w:ind w:left="152"/>
        <w:rPr>
          <w:rFonts w:ascii="Times New Roman" w:eastAsia="微软雅黑" w:cs="Times New Roman"/>
          <w:b/>
          <w:bCs/>
          <w:color w:val="333333"/>
          <w:spacing w:val="14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A1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46"/>
      <w:ind w:left="112"/>
    </w:pPr>
    <w:rPr>
      <w:rFonts w:ascii="宋体" w:eastAsia="宋体" w:cs="宋体"/>
      <w:sz w:val="30"/>
      <w:szCs w:val="3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2022-02-21T04:17:47Z</dcterms:created>
  <dc:creator>win10</dc:creator>
  <cp:lastModifiedBy>win10</cp:lastModifiedBy>
  <dcterms:modified xsi:type="dcterms:W3CDTF">2022-02-21T04:18:02Z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B23209C6652B4019BFDBA7A013AFDCD5</vt:lpwstr>
  </property>
</Properties>
</file>